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44" w:rsidRPr="00F472F2" w:rsidRDefault="00617844" w:rsidP="00617844">
      <w:pPr>
        <w:autoSpaceDE w:val="0"/>
        <w:autoSpaceDN w:val="0"/>
        <w:adjustRightInd w:val="0"/>
        <w:snapToGrid w:val="0"/>
        <w:jc w:val="center"/>
        <w:rPr>
          <w:rFonts w:eastAsia="標楷體"/>
          <w:kern w:val="0"/>
          <w:sz w:val="28"/>
          <w:szCs w:val="28"/>
        </w:rPr>
      </w:pPr>
      <w:r w:rsidRPr="005D0E8E">
        <w:rPr>
          <w:rFonts w:eastAsia="標楷體"/>
          <w:kern w:val="0"/>
          <w:sz w:val="28"/>
          <w:szCs w:val="28"/>
        </w:rPr>
        <w:t>【</w:t>
      </w:r>
      <w:r w:rsidRPr="005D0E8E">
        <w:rPr>
          <w:rFonts w:eastAsia="標楷體" w:hint="eastAsia"/>
          <w:kern w:val="0"/>
          <w:sz w:val="28"/>
          <w:szCs w:val="28"/>
        </w:rPr>
        <w:t>子計畫</w:t>
      </w:r>
      <w:r>
        <w:rPr>
          <w:rFonts w:eastAsia="標楷體" w:hint="eastAsia"/>
          <w:kern w:val="0"/>
          <w:sz w:val="28"/>
          <w:szCs w:val="28"/>
        </w:rPr>
        <w:t>2</w:t>
      </w:r>
      <w:r w:rsidRPr="005D0E8E">
        <w:rPr>
          <w:rFonts w:eastAsia="標楷體"/>
          <w:kern w:val="0"/>
          <w:sz w:val="28"/>
          <w:szCs w:val="28"/>
        </w:rPr>
        <w:t>】</w:t>
      </w: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6"/>
      </w:tblGrid>
      <w:tr w:rsidR="00617844" w:rsidRPr="00F854AB" w:rsidTr="00114758">
        <w:trPr>
          <w:trHeight w:val="1056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17844" w:rsidRPr="00EB0D60" w:rsidRDefault="00617844" w:rsidP="00114758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EB0D60">
              <w:rPr>
                <w:rFonts w:ascii="Calibri" w:eastAsia="標楷體" w:hAnsi="Calibri" w:hint="eastAsia"/>
                <w:sz w:val="28"/>
                <w:szCs w:val="28"/>
              </w:rPr>
              <w:t>嘉義</w:t>
            </w:r>
            <w:r w:rsidRPr="00EB0D60">
              <w:rPr>
                <w:rFonts w:ascii="Calibri" w:eastAsia="標楷體" w:hAnsi="Calibri"/>
                <w:sz w:val="28"/>
                <w:szCs w:val="28"/>
              </w:rPr>
              <w:t>市</w:t>
            </w:r>
            <w:r>
              <w:rPr>
                <w:rFonts w:ascii="Calibri" w:eastAsia="標楷體" w:hAnsi="Calibri"/>
                <w:sz w:val="28"/>
                <w:szCs w:val="28"/>
              </w:rPr>
              <w:t>110</w:t>
            </w:r>
            <w:proofErr w:type="gramStart"/>
            <w:r w:rsidRPr="00EB0D60">
              <w:rPr>
                <w:rFonts w:ascii="Calibri" w:eastAsia="標楷體" w:hAnsi="Calibri" w:hint="eastAsia"/>
                <w:sz w:val="28"/>
                <w:szCs w:val="28"/>
              </w:rPr>
              <w:t>學年度精進</w:t>
            </w:r>
            <w:proofErr w:type="gramEnd"/>
            <w:r w:rsidRPr="00EB0D60">
              <w:rPr>
                <w:rFonts w:ascii="Calibri" w:eastAsia="標楷體" w:hAnsi="Calibri"/>
                <w:sz w:val="28"/>
                <w:szCs w:val="28"/>
              </w:rPr>
              <w:t>國民</w:t>
            </w:r>
            <w:r w:rsidRPr="00EB0D60">
              <w:rPr>
                <w:rFonts w:ascii="Calibri" w:eastAsia="標楷體" w:hAnsi="Calibri" w:hint="eastAsia"/>
                <w:sz w:val="28"/>
                <w:szCs w:val="28"/>
              </w:rPr>
              <w:t>中小學教師教學專業與課程品質整體推動計畫</w:t>
            </w:r>
          </w:p>
          <w:p w:rsidR="00617844" w:rsidRPr="00EB0D60" w:rsidRDefault="00617844" w:rsidP="00114758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EB0D60">
              <w:rPr>
                <w:rFonts w:ascii="Calibri" w:eastAsia="標楷體" w:hAnsi="Calibri" w:hint="eastAsia"/>
                <w:sz w:val="28"/>
                <w:szCs w:val="28"/>
                <w:shd w:val="clear" w:color="auto" w:fill="F2F2F2"/>
              </w:rPr>
              <w:t>國民教育輔導團</w:t>
            </w:r>
            <w:r>
              <w:rPr>
                <w:rFonts w:ascii="Calibri" w:eastAsia="標楷體" w:hAnsi="Calibri" w:hint="eastAsia"/>
                <w:sz w:val="28"/>
                <w:szCs w:val="28"/>
                <w:shd w:val="clear" w:color="auto" w:fill="F2F2F2"/>
              </w:rPr>
              <w:t>語文領域國中小本土語文輔導小組</w:t>
            </w:r>
          </w:p>
          <w:p w:rsidR="00617844" w:rsidRPr="00D37BF6" w:rsidRDefault="00617844" w:rsidP="00114758">
            <w:pPr>
              <w:spacing w:after="120" w:line="480" w:lineRule="exact"/>
              <w:jc w:val="center"/>
              <w:rPr>
                <w:rFonts w:ascii="標楷體" w:eastAsia="標楷體" w:hAnsi="標楷體" w:cs="新細明體"/>
                <w:b/>
                <w:bCs/>
                <w:spacing w:val="-2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本土語文</w:t>
            </w:r>
            <w:r w:rsidRPr="006947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領域核心素養課程教學轉化與設計研習</w:t>
            </w:r>
            <w:r w:rsidRPr="003A5519">
              <w:rPr>
                <w:rFonts w:ascii="標楷體" w:eastAsia="標楷體" w:hAnsi="標楷體" w:cs="新細明體" w:hint="eastAsia"/>
                <w:bCs/>
                <w:spacing w:val="-20"/>
                <w:kern w:val="0"/>
                <w:sz w:val="28"/>
                <w:szCs w:val="28"/>
              </w:rPr>
              <w:t>實施計畫</w:t>
            </w:r>
          </w:p>
          <w:bookmarkEnd w:id="0"/>
          <w:p w:rsidR="00617844" w:rsidRPr="00F854AB" w:rsidRDefault="00617844" w:rsidP="00114758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一、依據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</w:p>
          <w:p w:rsidR="00617844" w:rsidRPr="00F854AB" w:rsidRDefault="00617844" w:rsidP="00114758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（一）教育部補助直轄市、縣(市)政府精進國民中學及國民小學教師教學專業與課程品質作業要點。</w:t>
            </w:r>
          </w:p>
          <w:p w:rsidR="00617844" w:rsidRPr="00F854AB" w:rsidRDefault="00617844" w:rsidP="00114758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（二）</w:t>
            </w:r>
            <w:r w:rsidRPr="00F854AB">
              <w:rPr>
                <w:rFonts w:ascii="標楷體" w:eastAsia="標楷體" w:hAnsi="標楷體" w:hint="eastAsia"/>
                <w:kern w:val="0"/>
              </w:rPr>
              <w:t>嘉義市</w:t>
            </w:r>
            <w:r>
              <w:rPr>
                <w:rFonts w:ascii="標楷體" w:eastAsia="標楷體" w:hAnsi="標楷體"/>
                <w:kern w:val="0"/>
              </w:rPr>
              <w:t>110</w:t>
            </w:r>
            <w:proofErr w:type="gramStart"/>
            <w:r w:rsidRPr="00F854AB">
              <w:rPr>
                <w:rFonts w:ascii="標楷體" w:eastAsia="標楷體" w:hAnsi="標楷體" w:hint="eastAsia"/>
                <w:kern w:val="0"/>
              </w:rPr>
              <w:t>學</w:t>
            </w:r>
            <w:r w:rsidRPr="00F854AB">
              <w:rPr>
                <w:rFonts w:ascii="標楷體" w:eastAsia="標楷體" w:hAnsi="標楷體"/>
                <w:kern w:val="0"/>
              </w:rPr>
              <w:t>年度精進</w:t>
            </w:r>
            <w:proofErr w:type="gramEnd"/>
            <w:r w:rsidRPr="00F854AB">
              <w:rPr>
                <w:rFonts w:ascii="標楷體" w:eastAsia="標楷體" w:hAnsi="標楷體"/>
                <w:kern w:val="0"/>
              </w:rPr>
              <w:t>國民中小學</w:t>
            </w:r>
            <w:r w:rsidRPr="00F854AB">
              <w:rPr>
                <w:rFonts w:ascii="標楷體" w:eastAsia="標楷體" w:hAnsi="標楷體" w:hint="eastAsia"/>
                <w:kern w:val="0"/>
              </w:rPr>
              <w:t>教師</w:t>
            </w:r>
            <w:r w:rsidRPr="00F854AB">
              <w:rPr>
                <w:rFonts w:ascii="標楷體" w:eastAsia="標楷體" w:hAnsi="標楷體"/>
                <w:kern w:val="0"/>
              </w:rPr>
              <w:t>教學</w:t>
            </w:r>
            <w:r w:rsidRPr="00F854AB">
              <w:rPr>
                <w:rFonts w:ascii="標楷體" w:eastAsia="標楷體" w:hAnsi="標楷體" w:hint="eastAsia"/>
                <w:kern w:val="0"/>
              </w:rPr>
              <w:t>專業與課程</w:t>
            </w:r>
            <w:r w:rsidRPr="00F854AB">
              <w:rPr>
                <w:rFonts w:ascii="標楷體" w:eastAsia="標楷體" w:hAnsi="標楷體"/>
                <w:kern w:val="0"/>
              </w:rPr>
              <w:t>品質</w:t>
            </w:r>
            <w:r w:rsidRPr="00F854AB">
              <w:rPr>
                <w:rFonts w:ascii="標楷體" w:eastAsia="標楷體" w:hAnsi="標楷體" w:hint="eastAsia"/>
                <w:kern w:val="0"/>
              </w:rPr>
              <w:t>整體推動</w:t>
            </w:r>
            <w:r w:rsidRPr="00F854AB">
              <w:rPr>
                <w:rFonts w:ascii="標楷體" w:eastAsia="標楷體" w:hAnsi="標楷體"/>
                <w:kern w:val="0"/>
              </w:rPr>
              <w:t>計畫。</w:t>
            </w:r>
          </w:p>
          <w:p w:rsidR="00617844" w:rsidRDefault="00617844" w:rsidP="00114758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（三）</w:t>
            </w:r>
            <w:r w:rsidRPr="00F854AB">
              <w:rPr>
                <w:rFonts w:ascii="標楷體" w:eastAsia="標楷體" w:hAnsi="標楷體" w:hint="eastAsia"/>
                <w:kern w:val="0"/>
              </w:rPr>
              <w:t>嘉義市</w:t>
            </w:r>
            <w:r>
              <w:rPr>
                <w:rFonts w:ascii="標楷體" w:eastAsia="標楷體" w:hAnsi="標楷體"/>
                <w:kern w:val="0"/>
              </w:rPr>
              <w:t>110</w:t>
            </w:r>
            <w:r w:rsidRPr="00F854AB">
              <w:rPr>
                <w:rFonts w:ascii="標楷體" w:eastAsia="標楷體" w:hAnsi="標楷體" w:hint="eastAsia"/>
                <w:kern w:val="0"/>
              </w:rPr>
              <w:t>學</w:t>
            </w:r>
            <w:r w:rsidRPr="00F854AB">
              <w:rPr>
                <w:rFonts w:ascii="標楷體" w:eastAsia="標楷體" w:hAnsi="標楷體"/>
                <w:kern w:val="0"/>
              </w:rPr>
              <w:t>年度國民教育輔導團</w:t>
            </w:r>
            <w:r w:rsidRPr="00F854AB">
              <w:rPr>
                <w:rFonts w:ascii="標楷體" w:eastAsia="標楷體" w:hAnsi="標楷體" w:hint="eastAsia"/>
                <w:kern w:val="0"/>
              </w:rPr>
              <w:t>整體團</w:t>
            </w:r>
            <w:proofErr w:type="gramStart"/>
            <w:r w:rsidRPr="00F854AB">
              <w:rPr>
                <w:rFonts w:ascii="標楷體" w:eastAsia="標楷體" w:hAnsi="標楷體" w:hint="eastAsia"/>
                <w:kern w:val="0"/>
              </w:rPr>
              <w:t>務</w:t>
            </w:r>
            <w:proofErr w:type="gramEnd"/>
            <w:r w:rsidRPr="00F854AB">
              <w:rPr>
                <w:rFonts w:ascii="標楷體" w:eastAsia="標楷體" w:hAnsi="標楷體"/>
                <w:kern w:val="0"/>
              </w:rPr>
              <w:t>計畫。</w:t>
            </w:r>
          </w:p>
          <w:p w:rsidR="00617844" w:rsidRPr="00EB0D60" w:rsidRDefault="00617844" w:rsidP="0011475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二、</w:t>
            </w:r>
            <w:r w:rsidRPr="00EB0D60">
              <w:rPr>
                <w:rFonts w:ascii="標楷體" w:eastAsia="標楷體" w:hAnsi="標楷體" w:hint="eastAsia"/>
              </w:rPr>
              <w:t>現況分析與需求評估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617844" w:rsidRDefault="00617844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8</w:t>
            </w:r>
            <w:r w:rsidRPr="00492979">
              <w:rPr>
                <w:rFonts w:ascii="標楷體" w:eastAsia="標楷體" w:hAnsi="標楷體"/>
              </w:rPr>
              <w:t>年度起適逢</w:t>
            </w:r>
            <w:proofErr w:type="gramEnd"/>
            <w:r w:rsidRPr="00492979">
              <w:rPr>
                <w:rFonts w:ascii="標楷體" w:eastAsia="標楷體" w:hAnsi="標楷體"/>
              </w:rPr>
              <w:t>教師專業發展評鑑調整為教學實踐</w:t>
            </w:r>
            <w:r>
              <w:rPr>
                <w:rFonts w:ascii="標楷體" w:eastAsia="標楷體" w:hAnsi="標楷體"/>
              </w:rPr>
              <w:t>方案，為提供教師專業成長支持體系更宏觀全面的思考方向與架構，</w:t>
            </w:r>
            <w:r>
              <w:rPr>
                <w:rFonts w:ascii="標楷體" w:eastAsia="標楷體" w:hAnsi="標楷體" w:hint="eastAsia"/>
              </w:rPr>
              <w:t>希望</w:t>
            </w:r>
            <w:r w:rsidRPr="00492979">
              <w:rPr>
                <w:rFonts w:ascii="標楷體" w:eastAsia="標楷體" w:hAnsi="標楷體"/>
              </w:rPr>
              <w:t>從「強化校本教學領導」、「推動教師專業成長」</w:t>
            </w:r>
            <w:proofErr w:type="gramStart"/>
            <w:r w:rsidRPr="00492979">
              <w:rPr>
                <w:rFonts w:ascii="標楷體" w:eastAsia="標楷體" w:hAnsi="標楷體"/>
              </w:rPr>
              <w:t>兩個構</w:t>
            </w:r>
            <w:proofErr w:type="gramEnd"/>
            <w:r w:rsidRPr="00492979">
              <w:rPr>
                <w:rFonts w:ascii="標楷體" w:eastAsia="標楷體" w:hAnsi="標楷體"/>
              </w:rPr>
              <w:t>面思考整體課程與教學之行動策略，深化以學生學習為主體的教學實踐經驗。</w:t>
            </w:r>
          </w:p>
          <w:p w:rsidR="00617844" w:rsidRPr="00492979" w:rsidRDefault="00617844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cs="標楷體" w:hint="eastAsia"/>
              </w:rPr>
              <w:t>基於現況分析的結果，</w:t>
            </w:r>
            <w:r w:rsidRPr="00492979">
              <w:rPr>
                <w:rFonts w:ascii="標楷體" w:eastAsia="標楷體" w:hAnsi="標楷體"/>
              </w:rPr>
              <w:t>本計畫</w:t>
            </w:r>
            <w:r>
              <w:rPr>
                <w:rFonts w:ascii="標楷體" w:eastAsia="標楷體" w:hAnsi="標楷體" w:hint="eastAsia"/>
              </w:rPr>
              <w:t>需</w:t>
            </w:r>
            <w:proofErr w:type="gramStart"/>
            <w:r w:rsidRPr="00492979">
              <w:rPr>
                <w:rFonts w:ascii="標楷體" w:eastAsia="標楷體" w:hAnsi="標楷體"/>
              </w:rPr>
              <w:t>邀請央團輔導員</w:t>
            </w:r>
            <w:proofErr w:type="gramEnd"/>
            <w:r w:rsidRPr="00492979">
              <w:rPr>
                <w:rFonts w:ascii="標楷體" w:eastAsia="標楷體" w:hAnsi="標楷體"/>
              </w:rPr>
              <w:t>帶領縣市輔導員及領域教師精熟十二年</w:t>
            </w:r>
            <w:proofErr w:type="gramStart"/>
            <w:r w:rsidRPr="00492979">
              <w:rPr>
                <w:rFonts w:ascii="標楷體" w:eastAsia="標楷體" w:hAnsi="標楷體"/>
              </w:rPr>
              <w:t>國教領綱宣導</w:t>
            </w:r>
            <w:proofErr w:type="gramEnd"/>
            <w:r w:rsidRPr="00492979">
              <w:rPr>
                <w:rFonts w:ascii="標楷體" w:eastAsia="標楷體" w:hAnsi="標楷體"/>
              </w:rPr>
              <w:t>政策轉化，並研發素養導</w:t>
            </w:r>
            <w:r>
              <w:rPr>
                <w:rFonts w:ascii="標楷體" w:eastAsia="標楷體" w:hAnsi="標楷體"/>
              </w:rPr>
              <w:t>向教學示例，讓本土語文得以有足夠的專業增能</w:t>
            </w:r>
            <w:r w:rsidRPr="00492979">
              <w:rPr>
                <w:rFonts w:ascii="標楷體" w:eastAsia="標楷體" w:hAnsi="標楷體"/>
              </w:rPr>
              <w:t>，再藉由返校公開授課，帶領</w:t>
            </w:r>
            <w:r>
              <w:rPr>
                <w:rFonts w:ascii="標楷體" w:eastAsia="標楷體" w:hAnsi="標楷體"/>
              </w:rPr>
              <w:t>本土語文</w:t>
            </w:r>
            <w:r w:rsidRPr="00492979">
              <w:rPr>
                <w:rFonts w:ascii="標楷體" w:eastAsia="標楷體" w:hAnsi="標楷體"/>
              </w:rPr>
              <w:t>的校</w:t>
            </w:r>
            <w:proofErr w:type="gramStart"/>
            <w:r w:rsidRPr="00492979">
              <w:rPr>
                <w:rFonts w:ascii="標楷體" w:eastAsia="標楷體" w:hAnsi="標楷體"/>
              </w:rPr>
              <w:t>本共備社</w:t>
            </w:r>
            <w:proofErr w:type="gramEnd"/>
            <w:r w:rsidRPr="00492979">
              <w:rPr>
                <w:rFonts w:ascii="標楷體" w:eastAsia="標楷體" w:hAnsi="標楷體"/>
              </w:rPr>
              <w:t>群學校，展開校本教學實踐。</w:t>
            </w:r>
          </w:p>
          <w:p w:rsidR="00617844" w:rsidRPr="00F854AB" w:rsidRDefault="00617844" w:rsidP="00114758">
            <w:pPr>
              <w:widowControl/>
              <w:adjustRightInd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</w:rPr>
              <w:t>三</w:t>
            </w:r>
            <w:r w:rsidRPr="00F854AB">
              <w:rPr>
                <w:rFonts w:ascii="標楷體" w:eastAsia="標楷體" w:hAnsi="標楷體"/>
                <w:kern w:val="0"/>
              </w:rPr>
              <w:t>、目的：</w:t>
            </w:r>
            <w:r w:rsidRPr="004C10DF">
              <w:rPr>
                <w:rFonts w:eastAsia="標楷體"/>
                <w:kern w:val="0"/>
              </w:rPr>
              <w:t xml:space="preserve"> </w:t>
            </w:r>
            <w:r w:rsidRPr="004C10DF">
              <w:rPr>
                <w:rFonts w:eastAsia="標楷體"/>
                <w:kern w:val="0"/>
              </w:rPr>
              <w:t>瞭解核心素養與課程的連結，並能予以轉化融入教學。</w:t>
            </w:r>
          </w:p>
          <w:p w:rsidR="00617844" w:rsidRPr="00F854AB" w:rsidRDefault="00617844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四、辦理單位：</w:t>
            </w:r>
          </w:p>
          <w:p w:rsidR="00617844" w:rsidRPr="00F854AB" w:rsidRDefault="00617844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（一）指導單位：教育部國民及學前教育署</w:t>
            </w:r>
          </w:p>
          <w:p w:rsidR="00617844" w:rsidRPr="00F854AB" w:rsidRDefault="00617844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（二）主辦單位：</w:t>
            </w:r>
            <w:r w:rsidRPr="00F854AB">
              <w:rPr>
                <w:rFonts w:ascii="標楷體" w:eastAsia="標楷體" w:hAnsi="標楷體" w:hint="eastAsia"/>
                <w:kern w:val="0"/>
              </w:rPr>
              <w:t>嘉義市</w:t>
            </w:r>
            <w:r w:rsidRPr="00F854AB">
              <w:rPr>
                <w:rFonts w:ascii="標楷體" w:eastAsia="標楷體" w:hAnsi="標楷體"/>
                <w:kern w:val="0"/>
              </w:rPr>
              <w:t>政府</w:t>
            </w:r>
          </w:p>
          <w:p w:rsidR="00617844" w:rsidRPr="00F854AB" w:rsidRDefault="00617844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（</w:t>
            </w:r>
            <w:r w:rsidRPr="00F854AB">
              <w:rPr>
                <w:rFonts w:ascii="標楷體" w:eastAsia="標楷體" w:hAnsi="標楷體" w:hint="eastAsia"/>
                <w:kern w:val="0"/>
              </w:rPr>
              <w:t>三</w:t>
            </w:r>
            <w:r w:rsidRPr="00F854AB">
              <w:rPr>
                <w:rFonts w:ascii="標楷體" w:eastAsia="標楷體" w:hAnsi="標楷體"/>
                <w:kern w:val="0"/>
              </w:rPr>
              <w:t>）承辦單位：</w:t>
            </w:r>
            <w:r w:rsidRPr="00F854AB">
              <w:rPr>
                <w:rFonts w:ascii="標楷體" w:eastAsia="標楷體" w:hAnsi="標楷體" w:hint="eastAsia"/>
                <w:kern w:val="0"/>
              </w:rPr>
              <w:t>教育處國教輔導團</w:t>
            </w:r>
            <w:r>
              <w:rPr>
                <w:rFonts w:ascii="標楷體" w:eastAsia="標楷體" w:hAnsi="標楷體" w:hint="eastAsia"/>
                <w:kern w:val="0"/>
              </w:rPr>
              <w:t>本土語文</w:t>
            </w:r>
            <w:r w:rsidRPr="00F854AB">
              <w:rPr>
                <w:rFonts w:ascii="標楷體" w:eastAsia="標楷體" w:hAnsi="標楷體" w:hint="eastAsia"/>
                <w:kern w:val="0"/>
              </w:rPr>
              <w:t>學習領域</w:t>
            </w:r>
          </w:p>
          <w:p w:rsidR="00617844" w:rsidRPr="00F854AB" w:rsidRDefault="00617844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 w:hint="eastAsia"/>
                <w:kern w:val="0"/>
              </w:rPr>
              <w:t>（四）協辦單位：民族國小。</w:t>
            </w:r>
          </w:p>
          <w:p w:rsidR="00617844" w:rsidRPr="00F854AB" w:rsidRDefault="00617844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五、辦理日期：</w:t>
            </w:r>
            <w:r>
              <w:rPr>
                <w:rFonts w:ascii="標楷體" w:eastAsia="標楷體" w:hAnsi="標楷體" w:hint="eastAsia"/>
                <w:kern w:val="0"/>
              </w:rPr>
              <w:t>111</w:t>
            </w:r>
            <w:r w:rsidRPr="00F854AB">
              <w:rPr>
                <w:rFonts w:ascii="標楷體" w:eastAsia="標楷體" w:hAnsi="標楷體" w:hint="eastAsia"/>
                <w:kern w:val="0"/>
              </w:rPr>
              <w:t>年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F854AB">
              <w:rPr>
                <w:rFonts w:ascii="標楷體" w:eastAsia="標楷體" w:hAnsi="標楷體" w:hint="eastAsia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30日，下</w:t>
            </w:r>
            <w:r w:rsidRPr="00F854AB">
              <w:rPr>
                <w:rFonts w:ascii="標楷體" w:eastAsia="標楷體" w:hAnsi="標楷體" w:hint="eastAsia"/>
                <w:kern w:val="0"/>
              </w:rPr>
              <w:t>午</w:t>
            </w:r>
            <w:r>
              <w:rPr>
                <w:rFonts w:ascii="標楷體" w:eastAsia="標楷體" w:hAnsi="標楷體" w:hint="eastAsia"/>
                <w:kern w:val="0"/>
              </w:rPr>
              <w:t>13</w:t>
            </w:r>
            <w:r w:rsidRPr="00F854AB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F854AB">
              <w:rPr>
                <w:rFonts w:ascii="標楷體" w:eastAsia="標楷體" w:hAnsi="標楷體" w:hint="eastAsia"/>
                <w:kern w:val="0"/>
              </w:rPr>
              <w:t>0～</w:t>
            </w:r>
            <w:r>
              <w:rPr>
                <w:rFonts w:ascii="標楷體" w:eastAsia="標楷體" w:hAnsi="標楷體" w:hint="eastAsia"/>
                <w:kern w:val="0"/>
              </w:rPr>
              <w:t>16</w:t>
            </w:r>
            <w:r w:rsidRPr="00F854AB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F854AB">
              <w:rPr>
                <w:rFonts w:ascii="標楷體" w:eastAsia="標楷體" w:hAnsi="標楷體" w:hint="eastAsia"/>
                <w:kern w:val="0"/>
              </w:rPr>
              <w:t>0</w:t>
            </w:r>
          </w:p>
          <w:p w:rsidR="00617844" w:rsidRPr="009B55BA" w:rsidRDefault="00617844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六、</w:t>
            </w:r>
            <w:r>
              <w:rPr>
                <w:rFonts w:ascii="標楷體" w:eastAsia="標楷體" w:hAnsi="標楷體"/>
                <w:kern w:val="0"/>
              </w:rPr>
              <w:t>參加對象與人數</w:t>
            </w:r>
            <w:r w:rsidRPr="00F854AB">
              <w:rPr>
                <w:rFonts w:ascii="標楷體" w:eastAsia="標楷體" w:hAnsi="標楷體"/>
                <w:kern w:val="0"/>
              </w:rPr>
              <w:t>：嘉義市國中小教師及</w:t>
            </w:r>
            <w:r>
              <w:rPr>
                <w:rFonts w:ascii="標楷體" w:eastAsia="標楷體" w:hAnsi="標楷體"/>
                <w:kern w:val="0"/>
              </w:rPr>
              <w:t>本土語文</w:t>
            </w:r>
            <w:r w:rsidRPr="00F854AB">
              <w:rPr>
                <w:rFonts w:ascii="標楷體" w:eastAsia="標楷體" w:hAnsi="標楷體"/>
                <w:kern w:val="0"/>
              </w:rPr>
              <w:t>教學人員</w:t>
            </w:r>
            <w:r w:rsidRPr="009B55BA">
              <w:rPr>
                <w:rFonts w:ascii="標楷體" w:eastAsia="標楷體" w:hAnsi="標楷體" w:hint="eastAsia"/>
                <w:kern w:val="0"/>
              </w:rPr>
              <w:t>共40人</w:t>
            </w:r>
            <w:r w:rsidRPr="009B55BA">
              <w:rPr>
                <w:rFonts w:ascii="標楷體" w:eastAsia="標楷體" w:hAnsi="標楷體"/>
                <w:kern w:val="0"/>
              </w:rPr>
              <w:t>。</w:t>
            </w:r>
          </w:p>
          <w:p w:rsidR="00617844" w:rsidRPr="009B55BA" w:rsidRDefault="00617844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9B55BA">
              <w:rPr>
                <w:rFonts w:ascii="標楷體" w:eastAsia="標楷體" w:hAnsi="標楷體"/>
                <w:kern w:val="0"/>
              </w:rPr>
              <w:t>七、研習內容：</w:t>
            </w:r>
            <w:r w:rsidRPr="009B55BA">
              <w:rPr>
                <w:rFonts w:ascii="標楷體" w:eastAsia="標楷體" w:hAnsi="標楷體" w:hint="eastAsia"/>
                <w:kern w:val="0"/>
              </w:rPr>
              <w:t>講師：</w:t>
            </w:r>
            <w:proofErr w:type="gramStart"/>
            <w:r w:rsidRPr="009B55BA">
              <w:rPr>
                <w:rFonts w:ascii="標楷體" w:eastAsia="標楷體" w:hAnsi="標楷體" w:hint="eastAsia"/>
                <w:kern w:val="0"/>
              </w:rPr>
              <w:t>范</w:t>
            </w:r>
            <w:proofErr w:type="gramEnd"/>
            <w:r w:rsidRPr="009B55BA">
              <w:rPr>
                <w:rFonts w:ascii="標楷體" w:eastAsia="標楷體" w:hAnsi="標楷體" w:hint="eastAsia"/>
                <w:kern w:val="0"/>
              </w:rPr>
              <w:t>姜淑雲老師</w:t>
            </w:r>
          </w:p>
          <w:tbl>
            <w:tblPr>
              <w:tblW w:w="0" w:type="auto"/>
              <w:tblInd w:w="1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78"/>
              <w:gridCol w:w="2175"/>
              <w:gridCol w:w="3260"/>
            </w:tblGrid>
            <w:tr w:rsidR="00617844" w:rsidRPr="009B55BA" w:rsidTr="00114758">
              <w:tc>
                <w:tcPr>
                  <w:tcW w:w="2078" w:type="dxa"/>
                </w:tcPr>
                <w:p w:rsidR="00617844" w:rsidRPr="009B55BA" w:rsidRDefault="00617844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2175" w:type="dxa"/>
                </w:tcPr>
                <w:p w:rsidR="00617844" w:rsidRPr="009B55BA" w:rsidRDefault="00617844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9B55BA">
                    <w:rPr>
                      <w:rFonts w:ascii="標楷體" w:eastAsia="標楷體" w:hAnsi="標楷體"/>
                      <w:kern w:val="0"/>
                    </w:rPr>
                    <w:t>時間</w:t>
                  </w:r>
                </w:p>
              </w:tc>
              <w:tc>
                <w:tcPr>
                  <w:tcW w:w="3260" w:type="dxa"/>
                </w:tcPr>
                <w:p w:rsidR="00617844" w:rsidRPr="009B55BA" w:rsidRDefault="00617844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9B55BA">
                    <w:rPr>
                      <w:rFonts w:ascii="標楷體" w:eastAsia="標楷體" w:hAnsi="標楷體"/>
                      <w:kern w:val="0"/>
                    </w:rPr>
                    <w:t>課程</w:t>
                  </w:r>
                </w:p>
              </w:tc>
            </w:tr>
            <w:tr w:rsidR="00617844" w:rsidRPr="009B55BA" w:rsidTr="00114758">
              <w:tc>
                <w:tcPr>
                  <w:tcW w:w="2078" w:type="dxa"/>
                </w:tcPr>
                <w:p w:rsidR="00617844" w:rsidRPr="009B55BA" w:rsidRDefault="00617844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9B55BA">
                    <w:rPr>
                      <w:rFonts w:ascii="標楷體" w:eastAsia="標楷體" w:hAnsi="標楷體" w:hint="eastAsia"/>
                      <w:kern w:val="0"/>
                    </w:rPr>
                    <w:t>報到</w:t>
                  </w:r>
                </w:p>
              </w:tc>
              <w:tc>
                <w:tcPr>
                  <w:tcW w:w="2175" w:type="dxa"/>
                </w:tcPr>
                <w:p w:rsidR="00617844" w:rsidRPr="009B55BA" w:rsidRDefault="00617844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9B55BA">
                    <w:rPr>
                      <w:rFonts w:ascii="標楷體" w:eastAsia="標楷體" w:hAnsi="標楷體" w:hint="eastAsia"/>
                      <w:kern w:val="0"/>
                    </w:rPr>
                    <w:t>13：00～13：30</w:t>
                  </w:r>
                </w:p>
              </w:tc>
              <w:tc>
                <w:tcPr>
                  <w:tcW w:w="3260" w:type="dxa"/>
                </w:tcPr>
                <w:p w:rsidR="00617844" w:rsidRPr="009B55BA" w:rsidRDefault="00617844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9B55BA">
                    <w:rPr>
                      <w:rFonts w:ascii="標楷體" w:eastAsia="標楷體" w:hAnsi="標楷體" w:hint="eastAsia"/>
                      <w:kern w:val="0"/>
                    </w:rPr>
                    <w:t>報到</w:t>
                  </w:r>
                </w:p>
              </w:tc>
            </w:tr>
            <w:tr w:rsidR="00617844" w:rsidRPr="009B55BA" w:rsidTr="00114758">
              <w:tc>
                <w:tcPr>
                  <w:tcW w:w="2078" w:type="dxa"/>
                </w:tcPr>
                <w:p w:rsidR="00617844" w:rsidRPr="009B55BA" w:rsidRDefault="00617844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9B55BA">
                    <w:rPr>
                      <w:rFonts w:ascii="標楷體" w:eastAsia="標楷體" w:hAnsi="標楷體" w:hint="eastAsia"/>
                      <w:kern w:val="0"/>
                    </w:rPr>
                    <w:t>第1.2節</w:t>
                  </w:r>
                </w:p>
              </w:tc>
              <w:tc>
                <w:tcPr>
                  <w:tcW w:w="2175" w:type="dxa"/>
                </w:tcPr>
                <w:p w:rsidR="00617844" w:rsidRPr="009B55BA" w:rsidRDefault="00617844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9B55BA">
                    <w:rPr>
                      <w:rFonts w:ascii="標楷體" w:eastAsia="標楷體" w:hAnsi="標楷體" w:hint="eastAsia"/>
                      <w:kern w:val="0"/>
                    </w:rPr>
                    <w:t>13：30～15：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2</w:t>
                  </w:r>
                  <w:r w:rsidRPr="009B55BA">
                    <w:rPr>
                      <w:rFonts w:ascii="標楷體" w:eastAsia="標楷體" w:hAnsi="標楷體" w:hint="eastAsia"/>
                      <w:kern w:val="0"/>
                    </w:rPr>
                    <w:t>0</w:t>
                  </w:r>
                </w:p>
              </w:tc>
              <w:tc>
                <w:tcPr>
                  <w:tcW w:w="3260" w:type="dxa"/>
                </w:tcPr>
                <w:p w:rsidR="00617844" w:rsidRPr="009B55BA" w:rsidRDefault="00617844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proofErr w:type="gramStart"/>
                  <w:r w:rsidRPr="009B55BA">
                    <w:rPr>
                      <w:rFonts w:ascii="標楷體" w:eastAsia="標楷體" w:hAnsi="標楷體" w:hint="eastAsia"/>
                      <w:kern w:val="0"/>
                    </w:rPr>
                    <w:t>課綱核心</w:t>
                  </w:r>
                  <w:proofErr w:type="gramEnd"/>
                  <w:r w:rsidRPr="009B55BA">
                    <w:rPr>
                      <w:rFonts w:ascii="標楷體" w:eastAsia="標楷體" w:hAnsi="標楷體" w:hint="eastAsia"/>
                      <w:kern w:val="0"/>
                    </w:rPr>
                    <w:t>素養內涵</w:t>
                  </w:r>
                </w:p>
              </w:tc>
            </w:tr>
            <w:tr w:rsidR="00617844" w:rsidRPr="009B55BA" w:rsidTr="00114758">
              <w:tc>
                <w:tcPr>
                  <w:tcW w:w="2078" w:type="dxa"/>
                </w:tcPr>
                <w:p w:rsidR="00617844" w:rsidRPr="009B55BA" w:rsidRDefault="00617844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9B55BA">
                    <w:rPr>
                      <w:rFonts w:ascii="標楷體" w:eastAsia="標楷體" w:hAnsi="標楷體" w:hint="eastAsia"/>
                      <w:kern w:val="0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3</w:t>
                  </w:r>
                  <w:r w:rsidRPr="009B55BA">
                    <w:rPr>
                      <w:rFonts w:ascii="標楷體" w:eastAsia="標楷體" w:hAnsi="標楷體" w:hint="eastAsia"/>
                      <w:kern w:val="0"/>
                    </w:rPr>
                    <w:t>節</w:t>
                  </w:r>
                </w:p>
              </w:tc>
              <w:tc>
                <w:tcPr>
                  <w:tcW w:w="2175" w:type="dxa"/>
                </w:tcPr>
                <w:p w:rsidR="00617844" w:rsidRPr="009B55BA" w:rsidRDefault="00617844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9B55BA">
                    <w:rPr>
                      <w:rFonts w:ascii="標楷體" w:eastAsia="標楷體" w:hAnsi="標楷體" w:hint="eastAsia"/>
                      <w:kern w:val="0"/>
                    </w:rPr>
                    <w:t>15：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4</w:t>
                  </w:r>
                  <w:r w:rsidRPr="009B55BA">
                    <w:rPr>
                      <w:rFonts w:ascii="標楷體" w:eastAsia="標楷體" w:hAnsi="標楷體" w:hint="eastAsia"/>
                      <w:kern w:val="0"/>
                    </w:rPr>
                    <w:t>0～16：40</w:t>
                  </w:r>
                </w:p>
              </w:tc>
              <w:tc>
                <w:tcPr>
                  <w:tcW w:w="3260" w:type="dxa"/>
                </w:tcPr>
                <w:p w:rsidR="00617844" w:rsidRPr="009B55BA" w:rsidRDefault="00617844" w:rsidP="00114758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kern w:val="0"/>
                    </w:rPr>
                  </w:pPr>
                  <w:r w:rsidRPr="009B55BA">
                    <w:rPr>
                      <w:rFonts w:ascii="標楷體" w:eastAsia="標楷體" w:hAnsi="標楷體" w:hint="eastAsia"/>
                    </w:rPr>
                    <w:t>教學轉化與設計</w:t>
                  </w:r>
                </w:p>
              </w:tc>
            </w:tr>
          </w:tbl>
          <w:p w:rsidR="00617844" w:rsidRPr="00F854AB" w:rsidRDefault="00617844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17844" w:rsidRPr="00F854AB" w:rsidRDefault="00617844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八、經費來源與概算</w:t>
            </w:r>
            <w:r w:rsidRPr="00F854AB">
              <w:rPr>
                <w:rFonts w:ascii="標楷體" w:eastAsia="標楷體" w:hAnsi="標楷體" w:hint="eastAsia"/>
                <w:kern w:val="0"/>
              </w:rPr>
              <w:t>(含經費概算表，經費來源請務必清楚記載)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</w:p>
          <w:p w:rsidR="00617844" w:rsidRDefault="00617844" w:rsidP="00114758">
            <w:pPr>
              <w:widowControl/>
              <w:adjustRightInd w:val="0"/>
              <w:snapToGrid w:val="0"/>
              <w:ind w:leftChars="-4" w:left="-10" w:firstLineChars="209" w:firstLine="502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 w:hint="eastAsia"/>
                <w:kern w:val="0"/>
              </w:rPr>
              <w:t>由</w:t>
            </w:r>
            <w:r>
              <w:rPr>
                <w:rFonts w:ascii="標楷體" w:eastAsia="標楷體" w:hAnsi="標楷體" w:hint="eastAsia"/>
                <w:kern w:val="0"/>
              </w:rPr>
              <w:t>110</w:t>
            </w:r>
            <w:r w:rsidRPr="00F854AB">
              <w:rPr>
                <w:rFonts w:ascii="標楷體" w:eastAsia="標楷體" w:hAnsi="標楷體" w:hint="eastAsia"/>
                <w:kern w:val="0"/>
              </w:rPr>
              <w:t>學年度「教育部補助直轄市、縣(市)政府精進國民中學及國民小學教師教學專業與課程品質作業要點」補助款及本府相關經費項下支應（詳如經費概算表）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617844" w:rsidRDefault="00617844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/>
                <w:kern w:val="0"/>
              </w:rPr>
              <w:t>九、成效評估之實施</w:t>
            </w:r>
            <w:r>
              <w:rPr>
                <w:rFonts w:ascii="標楷體" w:eastAsia="標楷體" w:hAnsi="標楷體" w:hint="eastAsia"/>
                <w:kern w:val="0"/>
              </w:rPr>
              <w:t>：</w:t>
            </w:r>
            <w:r w:rsidRPr="00F854AB">
              <w:rPr>
                <w:rFonts w:ascii="標楷體" w:eastAsia="標楷體" w:hAnsi="標楷體"/>
                <w:kern w:val="0"/>
              </w:rPr>
              <w:t>滿意度調查。</w:t>
            </w:r>
          </w:p>
          <w:p w:rsidR="00617844" w:rsidRDefault="00617844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 w:hint="eastAsia"/>
                <w:kern w:val="0"/>
              </w:rPr>
              <w:t>十、考核與獎勵：承辦本活動有功人員，依嘉義市教育專業人員獎勵準則辦理敘獎。</w:t>
            </w:r>
          </w:p>
          <w:p w:rsidR="00617844" w:rsidRPr="001135EC" w:rsidRDefault="00617844" w:rsidP="00114758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F854AB">
              <w:rPr>
                <w:rFonts w:ascii="標楷體" w:eastAsia="標楷體" w:hAnsi="標楷體" w:hint="eastAsia"/>
                <w:kern w:val="0"/>
              </w:rPr>
              <w:t>十一、本計畫陳嘉義市政府教育處核定，經教育部審查通過後實施，修正時亦同。</w:t>
            </w:r>
          </w:p>
        </w:tc>
      </w:tr>
    </w:tbl>
    <w:p w:rsidR="00617844" w:rsidRDefault="00617844" w:rsidP="00617844">
      <w:pPr>
        <w:adjustRightInd w:val="0"/>
        <w:snapToGrid w:val="0"/>
        <w:rPr>
          <w:rFonts w:eastAsia="標楷體"/>
          <w:sz w:val="30"/>
          <w:szCs w:val="30"/>
        </w:rPr>
      </w:pPr>
    </w:p>
    <w:p w:rsidR="00617844" w:rsidRDefault="00617844" w:rsidP="00617844">
      <w:pPr>
        <w:adjustRightInd w:val="0"/>
        <w:snapToGrid w:val="0"/>
        <w:rPr>
          <w:rFonts w:eastAsia="標楷體"/>
          <w:sz w:val="30"/>
          <w:szCs w:val="30"/>
        </w:rPr>
      </w:pPr>
    </w:p>
    <w:p w:rsidR="00EA5CF3" w:rsidRPr="00617844" w:rsidRDefault="00EA5CF3"/>
    <w:sectPr w:rsidR="00EA5CF3" w:rsidRPr="00617844" w:rsidSect="006178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44"/>
    <w:rsid w:val="00617844"/>
    <w:rsid w:val="00966F27"/>
    <w:rsid w:val="00BD386F"/>
    <w:rsid w:val="00EA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8C958-429C-4BC1-89B4-DD21E8B4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20220122</cp:lastModifiedBy>
  <cp:revision>2</cp:revision>
  <dcterms:created xsi:type="dcterms:W3CDTF">2022-03-02T07:59:00Z</dcterms:created>
  <dcterms:modified xsi:type="dcterms:W3CDTF">2022-03-02T07:59:00Z</dcterms:modified>
</cp:coreProperties>
</file>